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340436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Заработная плата</w:t>
          </w:r>
        </w:p>
      </w:sdtContent>
    </w:sdt>
    <w:p w:rsidR="00334683" w:rsidRDefault="00340436" w:rsidP="00D345EC">
      <w:pPr>
        <w:widowControl w:val="0"/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40436">
        <w:rPr>
          <w:rFonts w:ascii="Arial" w:eastAsia="Times New Roman" w:hAnsi="Arial" w:cs="Arial"/>
          <w:b/>
          <w:sz w:val="24"/>
          <w:szCs w:val="24"/>
          <w:lang w:eastAsia="ru-RU"/>
        </w:rPr>
        <w:t>Среднемесячная номинальная начисленная заработная плата работников</w:t>
      </w:r>
      <w:r w:rsidRPr="00340436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на основе сведений, полученных от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0436">
        <w:rPr>
          <w:rFonts w:ascii="Arial" w:eastAsia="Times New Roman" w:hAnsi="Arial" w:cs="Arial"/>
          <w:sz w:val="24"/>
          <w:szCs w:val="24"/>
          <w:lang w:eastAsia="ru-RU"/>
        </w:rPr>
        <w:t xml:space="preserve"> путем деления фонда начисленной заработной платы работников на среднесписочную численность работников и на количество месяцев в отчетном периоде.</w:t>
      </w:r>
    </w:p>
    <w:p w:rsidR="00340436" w:rsidRPr="00340436" w:rsidRDefault="00340436" w:rsidP="00D345EC">
      <w:pPr>
        <w:pStyle w:val="a8"/>
        <w:keepNext/>
        <w:keepLines/>
        <w:spacing w:after="200" w:line="288" w:lineRule="auto"/>
        <w:ind w:firstLine="567"/>
        <w:jc w:val="both"/>
        <w:rPr>
          <w:rFonts w:ascii="Arial" w:hAnsi="Arial" w:cs="Arial"/>
        </w:rPr>
      </w:pPr>
      <w:proofErr w:type="gramStart"/>
      <w:r w:rsidRPr="00340436">
        <w:rPr>
          <w:rFonts w:ascii="Arial" w:hAnsi="Arial" w:cs="Arial"/>
        </w:rPr>
        <w:t xml:space="preserve">В </w:t>
      </w:r>
      <w:r w:rsidRPr="008A2FD0">
        <w:rPr>
          <w:rFonts w:ascii="Arial" w:hAnsi="Arial" w:cs="Arial"/>
          <w:b/>
        </w:rPr>
        <w:t>фонд заработной платы</w:t>
      </w:r>
      <w:r w:rsidRPr="00340436">
        <w:rPr>
          <w:rFonts w:ascii="Arial" w:hAnsi="Arial" w:cs="Arial"/>
        </w:rPr>
        <w:t xml:space="preserve"> включаются начисленные работникам суммы оплаты труда в денежной и </w:t>
      </w:r>
      <w:proofErr w:type="spellStart"/>
      <w:r w:rsidRPr="00340436">
        <w:rPr>
          <w:rFonts w:ascii="Arial" w:hAnsi="Arial" w:cs="Arial"/>
        </w:rPr>
        <w:t>неденежной</w:t>
      </w:r>
      <w:proofErr w:type="spellEnd"/>
      <w:r w:rsidRPr="00340436">
        <w:rPr>
          <w:rFonts w:ascii="Arial" w:hAnsi="Arial" w:cs="Arial"/>
        </w:rPr>
        <w:t xml:space="preserve"> формах </w:t>
      </w:r>
      <w:r w:rsidR="00EB5892">
        <w:rPr>
          <w:rFonts w:ascii="Arial" w:hAnsi="Arial" w:cs="Arial"/>
        </w:rPr>
        <w:br/>
      </w:r>
      <w:r w:rsidRPr="00EB5892">
        <w:rPr>
          <w:rFonts w:ascii="Arial" w:hAnsi="Arial" w:cs="Arial"/>
          <w:b/>
        </w:rPr>
        <w:t>(с учетом налога на доходы физических лиц и других удержаний в соответствии с законодательством Российской Федерации)</w:t>
      </w:r>
      <w:r w:rsidRPr="00340436">
        <w:rPr>
          <w:rFonts w:ascii="Arial" w:hAnsi="Arial" w:cs="Arial"/>
        </w:rPr>
        <w:t xml:space="preserve">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340436">
        <w:rPr>
          <w:rFonts w:ascii="Arial" w:hAnsi="Arial" w:cs="Arial"/>
        </w:rPr>
        <w:t xml:space="preserve"> характер.</w:t>
      </w:r>
      <w:r w:rsidR="008A2FD0">
        <w:rPr>
          <w:rFonts w:ascii="Arial" w:hAnsi="Arial" w:cs="Arial"/>
        </w:rPr>
        <w:t xml:space="preserve"> </w:t>
      </w:r>
      <w:r w:rsidR="008A2FD0" w:rsidRPr="008A2FD0">
        <w:rPr>
          <w:rFonts w:ascii="Arial" w:hAnsi="Arial" w:cs="Arial"/>
        </w:rPr>
        <w:t>Суммы включаются</w:t>
      </w:r>
      <w:r w:rsidR="008A2FD0">
        <w:rPr>
          <w:rFonts w:ascii="Arial" w:hAnsi="Arial" w:cs="Arial"/>
        </w:rPr>
        <w:t xml:space="preserve"> </w:t>
      </w:r>
      <w:r w:rsidR="008A2FD0" w:rsidRPr="008A2FD0">
        <w:rPr>
          <w:rFonts w:ascii="Arial" w:hAnsi="Arial" w:cs="Arial"/>
        </w:rPr>
        <w:t xml:space="preserve">независимо от источников их выплаты, статей бюджетов </w:t>
      </w:r>
      <w:r w:rsidR="008A2FD0">
        <w:rPr>
          <w:rFonts w:ascii="Arial" w:hAnsi="Arial" w:cs="Arial"/>
        </w:rPr>
        <w:br/>
      </w:r>
      <w:r w:rsidR="008A2FD0" w:rsidRPr="008A2FD0">
        <w:rPr>
          <w:rFonts w:ascii="Arial" w:hAnsi="Arial" w:cs="Arial"/>
        </w:rPr>
        <w:t>и предоставленных налоговых льгот</w:t>
      </w:r>
      <w:r w:rsidR="008A2FD0">
        <w:rPr>
          <w:rFonts w:ascii="Arial" w:hAnsi="Arial" w:cs="Arial"/>
        </w:rPr>
        <w:t xml:space="preserve"> </w:t>
      </w:r>
      <w:r w:rsidR="008A2FD0" w:rsidRPr="008A2FD0">
        <w:rPr>
          <w:rFonts w:ascii="Arial" w:hAnsi="Arial" w:cs="Arial"/>
        </w:rPr>
        <w:t>в соответствии с платежными документами, по которым с работниками производятся расчеты по заработной плате, премиям и так далее, независимо от срока их фактической выплаты.</w:t>
      </w:r>
    </w:p>
    <w:p w:rsidR="000A7EBE" w:rsidRDefault="00340436" w:rsidP="00D345EC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4260">
        <w:rPr>
          <w:rFonts w:ascii="Arial" w:eastAsia="Times New Roman" w:hAnsi="Arial" w:cs="Arial"/>
          <w:b/>
          <w:sz w:val="24"/>
          <w:szCs w:val="24"/>
          <w:lang w:eastAsia="ru-RU"/>
        </w:rPr>
        <w:t>Реальная начисленная заработная плата</w:t>
      </w:r>
      <w:r w:rsidRPr="004E4260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6A625C" w:rsidRDefault="008A2FD0" w:rsidP="00D345EC">
      <w:pPr>
        <w:pStyle w:val="ConsPlusNormal"/>
        <w:spacing w:after="200" w:line="288" w:lineRule="auto"/>
        <w:ind w:firstLine="567"/>
        <w:jc w:val="both"/>
      </w:pPr>
      <w:r w:rsidRPr="008A2FD0">
        <w:t xml:space="preserve">Среднемесячная начисленная заработная плата работников в целом </w:t>
      </w:r>
      <w:r w:rsidRPr="008A2FD0">
        <w:rPr>
          <w:b/>
        </w:rPr>
        <w:t>по субъектам Российской Федерации</w:t>
      </w:r>
      <w:r w:rsidRPr="008A2FD0">
        <w:t xml:space="preserve"> рассчитывается делением фонда начисленной заработной платы работников списочного и </w:t>
      </w:r>
      <w:proofErr w:type="spellStart"/>
      <w:r w:rsidRPr="008A2FD0">
        <w:t>несписочного</w:t>
      </w:r>
      <w:proofErr w:type="spellEnd"/>
      <w:r w:rsidRPr="008A2FD0">
        <w:t xml:space="preserve"> состава, а также внешних совместителей на среднесписочную численность работников и на количество месяцев в отчетном периоде</w:t>
      </w:r>
      <w:r w:rsidR="006A625C">
        <w:t>.</w:t>
      </w:r>
    </w:p>
    <w:p w:rsidR="008A2FD0" w:rsidRDefault="008A2FD0" w:rsidP="00D345EC">
      <w:pPr>
        <w:pStyle w:val="ConsPlusNormal"/>
        <w:spacing w:after="200" w:line="288" w:lineRule="auto"/>
        <w:ind w:firstLine="567"/>
        <w:jc w:val="both"/>
      </w:pPr>
      <w:r w:rsidRPr="008A2FD0">
        <w:t xml:space="preserve">Среднемесячная начисленная заработная плата работников </w:t>
      </w:r>
      <w:r w:rsidRPr="008A2FD0">
        <w:rPr>
          <w:b/>
        </w:rPr>
        <w:t>по видам экономической деятельности</w:t>
      </w:r>
      <w:r w:rsidRPr="008A2FD0">
        <w:t xml:space="preserve"> рассчитывается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отчетном периоде.</w:t>
      </w:r>
    </w:p>
    <w:p w:rsidR="008A2FD0" w:rsidRDefault="008E2BD5" w:rsidP="00D345EC">
      <w:pPr>
        <w:pStyle w:val="ConsPlusNormal"/>
        <w:spacing w:after="200" w:line="288" w:lineRule="auto"/>
        <w:ind w:firstLine="567"/>
        <w:jc w:val="both"/>
      </w:pPr>
      <w:r>
        <w:t>С</w:t>
      </w:r>
      <w:r w:rsidRPr="008E2BD5">
        <w:t>реднемесячн</w:t>
      </w:r>
      <w:r>
        <w:t>ая</w:t>
      </w:r>
      <w:r w:rsidRPr="008E2BD5">
        <w:t xml:space="preserve"> </w:t>
      </w:r>
      <w:r w:rsidRPr="008E2BD5">
        <w:rPr>
          <w:rFonts w:eastAsia="Times New Roman"/>
          <w:lang w:eastAsia="ru-RU"/>
        </w:rPr>
        <w:t>номинальная</w:t>
      </w:r>
      <w:r w:rsidRPr="00340436">
        <w:rPr>
          <w:rFonts w:eastAsia="Times New Roman"/>
          <w:b/>
          <w:lang w:eastAsia="ru-RU"/>
        </w:rPr>
        <w:t xml:space="preserve"> </w:t>
      </w:r>
      <w:r w:rsidRPr="008E2BD5">
        <w:t>начисленн</w:t>
      </w:r>
      <w:r>
        <w:t>ая</w:t>
      </w:r>
      <w:r w:rsidRPr="008E2BD5">
        <w:t xml:space="preserve"> заработн</w:t>
      </w:r>
      <w:r>
        <w:t>ая</w:t>
      </w:r>
      <w:r w:rsidRPr="008E2BD5">
        <w:t xml:space="preserve"> плат</w:t>
      </w:r>
      <w:r>
        <w:t>а</w:t>
      </w:r>
      <w:r w:rsidRPr="008E2BD5">
        <w:t xml:space="preserve"> работников </w:t>
      </w:r>
      <w:r w:rsidRPr="008E2BD5">
        <w:rPr>
          <w:b/>
        </w:rPr>
        <w:t>за год</w:t>
      </w:r>
      <w:r w:rsidRPr="008E2BD5">
        <w:t xml:space="preserve"> </w:t>
      </w:r>
      <w:r>
        <w:t>рассчитывается</w:t>
      </w:r>
      <w:r w:rsidRPr="008E2BD5">
        <w:t xml:space="preserve"> </w:t>
      </w:r>
      <w:r>
        <w:t xml:space="preserve">на федеральном </w:t>
      </w:r>
      <w:proofErr w:type="gramStart"/>
      <w:r>
        <w:t>уровне</w:t>
      </w:r>
      <w:proofErr w:type="gramEnd"/>
      <w:r>
        <w:t xml:space="preserve"> </w:t>
      </w:r>
      <w:r>
        <w:br/>
      </w:r>
      <w:r w:rsidRPr="008E2BD5">
        <w:t xml:space="preserve">на основании сведений, полученных территориальными органами Росстата от организаций всех видов экономической деятельности и форм собственности, включая малые предприятия и </w:t>
      </w:r>
      <w:proofErr w:type="spellStart"/>
      <w:r w:rsidRPr="008E2BD5">
        <w:t>микропредприятия</w:t>
      </w:r>
      <w:proofErr w:type="spellEnd"/>
      <w:r w:rsidRPr="008E2BD5">
        <w:t>.</w:t>
      </w:r>
    </w:p>
    <w:p w:rsidR="005C2447" w:rsidRDefault="005F15C5" w:rsidP="00D345EC">
      <w:pPr>
        <w:pStyle w:val="ConsPlusNormal"/>
        <w:spacing w:after="200" w:line="288" w:lineRule="auto"/>
        <w:ind w:firstLine="567"/>
        <w:jc w:val="both"/>
      </w:pPr>
      <w:proofErr w:type="gramStart"/>
      <w:r>
        <w:lastRenderedPageBreak/>
        <w:t xml:space="preserve">Более подробные методологические пояснения по показателям </w:t>
      </w:r>
      <w:r w:rsidRPr="005F15C5">
        <w:rPr>
          <w:b/>
        </w:rPr>
        <w:t>«численность работников»</w:t>
      </w:r>
      <w:r>
        <w:t xml:space="preserve">, </w:t>
      </w:r>
      <w:r w:rsidRPr="005F15C5">
        <w:rPr>
          <w:b/>
        </w:rPr>
        <w:t>«</w:t>
      </w:r>
      <w:r w:rsidRPr="008A2FD0">
        <w:rPr>
          <w:b/>
        </w:rPr>
        <w:t>фонд заработной платы</w:t>
      </w:r>
      <w:r w:rsidRPr="005F15C5">
        <w:rPr>
          <w:b/>
        </w:rPr>
        <w:t>»</w:t>
      </w:r>
      <w:r>
        <w:rPr>
          <w:b/>
        </w:rPr>
        <w:t xml:space="preserve"> </w:t>
      </w:r>
      <w:r>
        <w:rPr>
          <w:b/>
        </w:rPr>
        <w:br/>
      </w:r>
      <w:r w:rsidRPr="005F15C5">
        <w:t xml:space="preserve">и </w:t>
      </w:r>
      <w:r w:rsidRPr="005F15C5">
        <w:rPr>
          <w:b/>
        </w:rPr>
        <w:t>«</w:t>
      </w:r>
      <w:r w:rsidRPr="00340436">
        <w:rPr>
          <w:rFonts w:eastAsia="Times New Roman"/>
          <w:b/>
          <w:lang w:eastAsia="ru-RU"/>
        </w:rPr>
        <w:t>заработная плата работников</w:t>
      </w:r>
      <w:r>
        <w:rPr>
          <w:rFonts w:eastAsia="Times New Roman"/>
          <w:b/>
          <w:lang w:eastAsia="ru-RU"/>
        </w:rPr>
        <w:t>»</w:t>
      </w:r>
      <w:r w:rsidRPr="00340436">
        <w:rPr>
          <w:rFonts w:eastAsia="Times New Roman"/>
          <w:lang w:eastAsia="ru-RU"/>
        </w:rPr>
        <w:t xml:space="preserve"> </w:t>
      </w:r>
      <w:r>
        <w:t xml:space="preserve">содержатся в </w:t>
      </w:r>
      <w:hyperlink r:id="rId5" w:history="1">
        <w:r w:rsidRPr="00E01271">
          <w:rPr>
            <w:rStyle w:val="a7"/>
            <w:color w:val="auto"/>
            <w:u w:val="none"/>
          </w:rPr>
          <w:t>Указаниях</w:t>
        </w:r>
      </w:hyperlink>
      <w:r w:rsidRPr="005F15C5">
        <w:t xml:space="preserve"> по заполнению форм федерального статистического наблюдения </w:t>
      </w:r>
      <w:r>
        <w:t xml:space="preserve">№ П-1 </w:t>
      </w:r>
      <w:r w:rsidRPr="005F15C5">
        <w:t>«Сведения о производстве</w:t>
      </w:r>
      <w:r>
        <w:t xml:space="preserve"> </w:t>
      </w:r>
      <w:r w:rsidRPr="005F15C5">
        <w:t>и отгрузке товаров и услуг», № П-2 «Сведения об инвестициях в нефинансовые активы»,</w:t>
      </w:r>
      <w:r>
        <w:t xml:space="preserve"> </w:t>
      </w:r>
      <w:r>
        <w:br/>
        <w:t>№ П-3</w:t>
      </w:r>
      <w:r w:rsidRPr="005F15C5">
        <w:t xml:space="preserve"> «Сведения о финансовом состоянии организации», </w:t>
      </w:r>
      <w:r>
        <w:t>№ П-4</w:t>
      </w:r>
      <w:r w:rsidRPr="005F15C5">
        <w:t xml:space="preserve"> «Сведения о численности и заработной плате работников», </w:t>
      </w:r>
      <w:r>
        <w:br/>
        <w:t xml:space="preserve">№ П-5(м) </w:t>
      </w:r>
      <w:r w:rsidRPr="005F15C5">
        <w:t>«Основные сведения о деятельности</w:t>
      </w:r>
      <w:proofErr w:type="gramEnd"/>
      <w:r w:rsidRPr="005F15C5">
        <w:t xml:space="preserve"> </w:t>
      </w:r>
      <w:proofErr w:type="gramStart"/>
      <w:r w:rsidRPr="005F15C5">
        <w:t xml:space="preserve">организации», утвержденных приказом Росстата от </w:t>
      </w:r>
      <w:r w:rsidR="00D345EC">
        <w:t>30</w:t>
      </w:r>
      <w:r w:rsidR="00E01271" w:rsidRPr="00E01271">
        <w:t xml:space="preserve"> ноября 202</w:t>
      </w:r>
      <w:r w:rsidR="00D345EC">
        <w:t>2</w:t>
      </w:r>
      <w:r w:rsidR="00E01271">
        <w:t xml:space="preserve"> </w:t>
      </w:r>
      <w:r w:rsidRPr="005F15C5">
        <w:t xml:space="preserve">г. № </w:t>
      </w:r>
      <w:r w:rsidR="00E01271">
        <w:t>8</w:t>
      </w:r>
      <w:r w:rsidR="00D345EC">
        <w:t>7</w:t>
      </w:r>
      <w:r w:rsidR="00E01271">
        <w:t>2</w:t>
      </w:r>
      <w:r w:rsidR="005C2447">
        <w:t xml:space="preserve">, которые публикуются на официальном интернет-сайте Росстата </w:t>
      </w:r>
      <w:hyperlink r:id="rId6" w:history="1">
        <w:r w:rsidR="005C2447" w:rsidRPr="002D1DBF">
          <w:rPr>
            <w:rStyle w:val="a7"/>
          </w:rPr>
          <w:t>https://rosstat.gov.ru</w:t>
        </w:r>
      </w:hyperlink>
      <w:r w:rsidR="005C2447">
        <w:t xml:space="preserve"> в разделе «Респондентам» (Формы федерального статистического наблюдения и формы бухгалтерской (финансовой) отчетности / Альбом форм федерального статистического наблюдения / Рынок труда / 202</w:t>
      </w:r>
      <w:r w:rsidR="00D345EC">
        <w:t>3</w:t>
      </w:r>
      <w:r w:rsidR="005C2447">
        <w:t xml:space="preserve"> / Сведения о численности и заработной плате работников (П-4) / Указания </w:t>
      </w:r>
      <w:r w:rsidR="005C2447">
        <w:br/>
        <w:t>по заполнению формы).</w:t>
      </w:r>
      <w:proofErr w:type="gramEnd"/>
    </w:p>
    <w:p w:rsidR="00D345EC" w:rsidRDefault="00D345EC" w:rsidP="00D345EC">
      <w:pPr>
        <w:pStyle w:val="a8"/>
        <w:spacing w:before="240" w:after="200"/>
        <w:ind w:right="-28" w:firstLine="714"/>
        <w:jc w:val="center"/>
        <w:rPr>
          <w:rFonts w:ascii="Arial" w:eastAsiaTheme="minorHAnsi" w:hAnsi="Arial" w:cs="Arial"/>
          <w:b/>
          <w:lang w:eastAsia="en-US"/>
        </w:rPr>
      </w:pPr>
      <w:r w:rsidRPr="000D6D1F">
        <w:rPr>
          <w:rFonts w:ascii="Arial" w:eastAsiaTheme="minorHAnsi" w:hAnsi="Arial" w:cs="Arial"/>
          <w:b/>
          <w:lang w:eastAsia="en-US"/>
        </w:rPr>
        <w:t>ОСОБЕННОСТИ УЧЕТА ДОБРОВОЛЬЦЕВ И МОБИЛИЗОВАННЫХ РАБОТНИКОВ</w:t>
      </w:r>
    </w:p>
    <w:p w:rsidR="00D345EC" w:rsidRDefault="00D345EC" w:rsidP="00D345EC">
      <w:pPr>
        <w:pStyle w:val="ConsPlusNormal"/>
        <w:spacing w:after="200" w:line="288" w:lineRule="auto"/>
        <w:ind w:firstLine="567"/>
        <w:jc w:val="both"/>
      </w:pPr>
      <w:proofErr w:type="gramStart"/>
      <w:r w:rsidRPr="00EE1B63">
        <w:t xml:space="preserve">За призванными сохраняется рабочее место, а действие заключенного с ними трудового договора приостанавливается </w:t>
      </w:r>
      <w:r>
        <w:br/>
      </w:r>
      <w:r w:rsidRPr="00EE1B63">
        <w:t>на период прохождения работниками военной службы или оказания ими добровольного содействия в выполнении задач, возложенных на Вооруженные Силы Российской Федерации.</w:t>
      </w:r>
      <w:proofErr w:type="gramEnd"/>
    </w:p>
    <w:p w:rsidR="00D345EC" w:rsidRPr="00D345EC" w:rsidRDefault="00D345EC" w:rsidP="00D345EC">
      <w:pPr>
        <w:spacing w:after="200"/>
        <w:ind w:firstLine="567"/>
        <w:rPr>
          <w:rFonts w:ascii="Arial" w:hAnsi="Arial" w:cs="Arial"/>
          <w:sz w:val="24"/>
          <w:szCs w:val="24"/>
        </w:rPr>
      </w:pPr>
      <w:r w:rsidRPr="00D345EC">
        <w:rPr>
          <w:rFonts w:ascii="Arial" w:hAnsi="Arial" w:cs="Arial"/>
          <w:sz w:val="24"/>
          <w:szCs w:val="24"/>
        </w:rPr>
        <w:t xml:space="preserve">Призванные по мобилизации и добровольцы в среднесписочной численности не отражаются, при этом начисленные </w:t>
      </w:r>
      <w:r>
        <w:rPr>
          <w:rFonts w:ascii="Arial" w:hAnsi="Arial" w:cs="Arial"/>
          <w:sz w:val="24"/>
          <w:szCs w:val="24"/>
        </w:rPr>
        <w:br/>
      </w:r>
      <w:r w:rsidRPr="00D345EC">
        <w:rPr>
          <w:rFonts w:ascii="Arial" w:hAnsi="Arial" w:cs="Arial"/>
          <w:sz w:val="24"/>
          <w:szCs w:val="24"/>
        </w:rPr>
        <w:t xml:space="preserve">им после приостановления трудового договора (служебного контракта) суммы выплат, учитываемые в фонде заработной платы, например, премии по итогам работы за год, отражаются в фонде заработной платы, начисленной работникам </w:t>
      </w:r>
      <w:proofErr w:type="spellStart"/>
      <w:r w:rsidRPr="00D345EC">
        <w:rPr>
          <w:rFonts w:ascii="Arial" w:hAnsi="Arial" w:cs="Arial"/>
          <w:sz w:val="24"/>
          <w:szCs w:val="24"/>
        </w:rPr>
        <w:t>несписочного</w:t>
      </w:r>
      <w:proofErr w:type="spellEnd"/>
      <w:r w:rsidRPr="00D345EC">
        <w:rPr>
          <w:rFonts w:ascii="Arial" w:hAnsi="Arial" w:cs="Arial"/>
          <w:sz w:val="24"/>
          <w:szCs w:val="24"/>
        </w:rPr>
        <w:t xml:space="preserve"> состава.</w:t>
      </w:r>
    </w:p>
    <w:p w:rsidR="00D345EC" w:rsidRDefault="00D345EC" w:rsidP="00D345EC">
      <w:pPr>
        <w:spacing w:after="200"/>
        <w:ind w:firstLine="567"/>
        <w:rPr>
          <w:rFonts w:ascii="Arial" w:hAnsi="Arial" w:cs="Arial"/>
          <w:sz w:val="24"/>
          <w:szCs w:val="24"/>
        </w:rPr>
      </w:pPr>
      <w:proofErr w:type="gramStart"/>
      <w:r w:rsidRPr="00D345EC">
        <w:rPr>
          <w:rFonts w:ascii="Arial" w:hAnsi="Arial" w:cs="Arial"/>
          <w:sz w:val="24"/>
          <w:szCs w:val="24"/>
        </w:rPr>
        <w:t xml:space="preserve">Лица, принятые по срочному трудовому договору на период отсутствия работника, призванного по мобилизации или добровольно подписавшего контракт с Вооруженными силами Российской Федерации, отражаются аналогично принятым </w:t>
      </w:r>
      <w:r>
        <w:rPr>
          <w:rFonts w:ascii="Arial" w:hAnsi="Arial" w:cs="Arial"/>
          <w:sz w:val="24"/>
          <w:szCs w:val="24"/>
        </w:rPr>
        <w:br/>
      </w:r>
      <w:r w:rsidRPr="00D345EC">
        <w:rPr>
          <w:rFonts w:ascii="Arial" w:hAnsi="Arial" w:cs="Arial"/>
          <w:sz w:val="24"/>
          <w:szCs w:val="24"/>
        </w:rPr>
        <w:t>на «декретные ставки», т.е. включаются как в списочную, так и в среднесписочную численность, а их начисленная заработная плата отражается в фонде заработной платы работников списочного состава.</w:t>
      </w:r>
      <w:proofErr w:type="gramEnd"/>
    </w:p>
    <w:p w:rsidR="00D345EC" w:rsidRDefault="00D345EC" w:rsidP="00D345EC">
      <w:pPr>
        <w:spacing w:after="200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C61542" w:rsidRPr="00C61542" w:rsidTr="00EB5892">
        <w:trPr>
          <w:trHeight w:val="1637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922" w:type="dxa"/>
            <w:shd w:val="clear" w:color="auto" w:fill="BDBDCC"/>
          </w:tcPr>
          <w:p w:rsidR="00C61542" w:rsidRPr="00C61542" w:rsidRDefault="00D345EC" w:rsidP="00D345EC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ормы федерального статистического наблюдения № П-4 «Сведения </w:t>
            </w:r>
            <w:r w:rsid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 численности и заработной плате работников»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№ 1-Т </w:t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«Сведения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 численности и заработной плате работников»</w:t>
            </w:r>
            <w:r w:rsid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AE7E8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ПМ «Сведения об основных показателях деятельности малого предприятия»</w:t>
            </w:r>
            <w:r w:rsid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AE7E8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МП (микро) «Сведения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AE7E8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об основных показателях деятельности </w:t>
            </w:r>
            <w:proofErr w:type="spellStart"/>
            <w:r w:rsidR="00AE7E8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микропредприятия</w:t>
            </w:r>
            <w:proofErr w:type="spellEnd"/>
            <w:r w:rsidR="00AE7E8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D345EC" w:rsidRPr="00C61542" w:rsidTr="00D345EC">
        <w:trPr>
          <w:trHeight w:val="503"/>
          <w:jc w:val="center"/>
        </w:trPr>
        <w:tc>
          <w:tcPr>
            <w:tcW w:w="2567" w:type="dxa"/>
            <w:shd w:val="clear" w:color="auto" w:fill="auto"/>
          </w:tcPr>
          <w:p w:rsidR="00D345EC" w:rsidRPr="00C61542" w:rsidRDefault="00D345EC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D345EC" w:rsidRPr="008E2BD5" w:rsidRDefault="00D345EC" w:rsidP="00D345EC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месячная, годовая</w:t>
            </w:r>
          </w:p>
        </w:tc>
      </w:tr>
    </w:tbl>
    <w:p w:rsidR="004C02A5" w:rsidRPr="002E4915" w:rsidRDefault="004C02A5" w:rsidP="0004448C">
      <w:pPr>
        <w:spacing w:after="200"/>
        <w:ind w:firstLine="0"/>
        <w:jc w:val="center"/>
        <w:rPr>
          <w:rFonts w:ascii="Arial" w:hAnsi="Arial" w:cs="Arial"/>
          <w:sz w:val="24"/>
          <w:szCs w:val="24"/>
        </w:rPr>
      </w:pPr>
    </w:p>
    <w:sectPr w:rsidR="004C02A5" w:rsidRPr="002E4915" w:rsidSect="002E491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4448C"/>
    <w:rsid w:val="00050B17"/>
    <w:rsid w:val="00060931"/>
    <w:rsid w:val="00060D26"/>
    <w:rsid w:val="00091933"/>
    <w:rsid w:val="000A46BD"/>
    <w:rsid w:val="000A78C6"/>
    <w:rsid w:val="000A7EBE"/>
    <w:rsid w:val="000F43AB"/>
    <w:rsid w:val="00117B8E"/>
    <w:rsid w:val="00127AB3"/>
    <w:rsid w:val="001550CA"/>
    <w:rsid w:val="001748A6"/>
    <w:rsid w:val="001A4196"/>
    <w:rsid w:val="002464A2"/>
    <w:rsid w:val="0026792F"/>
    <w:rsid w:val="00274F0E"/>
    <w:rsid w:val="00290EA2"/>
    <w:rsid w:val="002937F6"/>
    <w:rsid w:val="002C785C"/>
    <w:rsid w:val="002E4915"/>
    <w:rsid w:val="00304B10"/>
    <w:rsid w:val="00334683"/>
    <w:rsid w:val="003374F1"/>
    <w:rsid w:val="00340436"/>
    <w:rsid w:val="003637FD"/>
    <w:rsid w:val="00396C99"/>
    <w:rsid w:val="003D1E1E"/>
    <w:rsid w:val="0043724A"/>
    <w:rsid w:val="004569AA"/>
    <w:rsid w:val="00473623"/>
    <w:rsid w:val="004B2EA5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703C5"/>
    <w:rsid w:val="00586ECE"/>
    <w:rsid w:val="005B4498"/>
    <w:rsid w:val="005C2447"/>
    <w:rsid w:val="005D4A43"/>
    <w:rsid w:val="005D5A0C"/>
    <w:rsid w:val="005E0B94"/>
    <w:rsid w:val="005F0BE0"/>
    <w:rsid w:val="005F15C5"/>
    <w:rsid w:val="006520C3"/>
    <w:rsid w:val="0066181F"/>
    <w:rsid w:val="00671BB2"/>
    <w:rsid w:val="0068305C"/>
    <w:rsid w:val="006A377B"/>
    <w:rsid w:val="006A625C"/>
    <w:rsid w:val="006C2D1D"/>
    <w:rsid w:val="006D74E4"/>
    <w:rsid w:val="006E407E"/>
    <w:rsid w:val="00726DF3"/>
    <w:rsid w:val="0074355E"/>
    <w:rsid w:val="007457CD"/>
    <w:rsid w:val="0074675B"/>
    <w:rsid w:val="007A569F"/>
    <w:rsid w:val="007A69B6"/>
    <w:rsid w:val="007A6D7A"/>
    <w:rsid w:val="007B213A"/>
    <w:rsid w:val="007D1147"/>
    <w:rsid w:val="007E0231"/>
    <w:rsid w:val="008178F4"/>
    <w:rsid w:val="00824964"/>
    <w:rsid w:val="00847FC1"/>
    <w:rsid w:val="008629A4"/>
    <w:rsid w:val="008660D7"/>
    <w:rsid w:val="008834A0"/>
    <w:rsid w:val="008A2FD0"/>
    <w:rsid w:val="008C428A"/>
    <w:rsid w:val="008E2BD5"/>
    <w:rsid w:val="008F58C9"/>
    <w:rsid w:val="00926CE1"/>
    <w:rsid w:val="009415C3"/>
    <w:rsid w:val="00944DFE"/>
    <w:rsid w:val="009A0AFF"/>
    <w:rsid w:val="00A05B29"/>
    <w:rsid w:val="00A878F9"/>
    <w:rsid w:val="00AA3A22"/>
    <w:rsid w:val="00AB4DFF"/>
    <w:rsid w:val="00AD1496"/>
    <w:rsid w:val="00AE7E8B"/>
    <w:rsid w:val="00B12DBE"/>
    <w:rsid w:val="00B13C11"/>
    <w:rsid w:val="00B13C4D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D2870"/>
    <w:rsid w:val="00C0215E"/>
    <w:rsid w:val="00C10DAD"/>
    <w:rsid w:val="00C27115"/>
    <w:rsid w:val="00C36FF5"/>
    <w:rsid w:val="00C42B25"/>
    <w:rsid w:val="00C61542"/>
    <w:rsid w:val="00CE41F1"/>
    <w:rsid w:val="00D00A41"/>
    <w:rsid w:val="00D010BF"/>
    <w:rsid w:val="00D1097E"/>
    <w:rsid w:val="00D16048"/>
    <w:rsid w:val="00D31805"/>
    <w:rsid w:val="00D345EC"/>
    <w:rsid w:val="00D41F64"/>
    <w:rsid w:val="00D420BB"/>
    <w:rsid w:val="00DA23CC"/>
    <w:rsid w:val="00DB0653"/>
    <w:rsid w:val="00DF7233"/>
    <w:rsid w:val="00E01271"/>
    <w:rsid w:val="00E126AA"/>
    <w:rsid w:val="00E15EEC"/>
    <w:rsid w:val="00E254C6"/>
    <w:rsid w:val="00E2702B"/>
    <w:rsid w:val="00E42092"/>
    <w:rsid w:val="00E472D5"/>
    <w:rsid w:val="00E538CB"/>
    <w:rsid w:val="00E565B3"/>
    <w:rsid w:val="00E92FAB"/>
    <w:rsid w:val="00EA1A83"/>
    <w:rsid w:val="00EB5892"/>
    <w:rsid w:val="00EC1537"/>
    <w:rsid w:val="00F14431"/>
    <w:rsid w:val="00F40B0A"/>
    <w:rsid w:val="00F74557"/>
    <w:rsid w:val="00F81255"/>
    <w:rsid w:val="00FC4A49"/>
    <w:rsid w:val="00FD2ACF"/>
    <w:rsid w:val="00FD6249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stat.gov.ru" TargetMode="External"/><Relationship Id="rId5" Type="http://schemas.openxmlformats.org/officeDocument/2006/relationships/hyperlink" Target="&#1059;&#1082;&#1072;&#1079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2A62AA"/>
    <w:rsid w:val="003D6CD9"/>
    <w:rsid w:val="00405BA1"/>
    <w:rsid w:val="00587C6C"/>
    <w:rsid w:val="00671F9D"/>
    <w:rsid w:val="006B7591"/>
    <w:rsid w:val="007E23DD"/>
    <w:rsid w:val="008D75C3"/>
    <w:rsid w:val="00A726D7"/>
    <w:rsid w:val="00A75732"/>
    <w:rsid w:val="00C31D1D"/>
    <w:rsid w:val="00D1654C"/>
    <w:rsid w:val="00E472CE"/>
    <w:rsid w:val="00E530D4"/>
    <w:rsid w:val="00F74050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9154-A794-4DAA-ADFD-AE4E3A4C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P24_UrevaAS</cp:lastModifiedBy>
  <cp:revision>10</cp:revision>
  <dcterms:created xsi:type="dcterms:W3CDTF">2018-01-24T04:15:00Z</dcterms:created>
  <dcterms:modified xsi:type="dcterms:W3CDTF">2023-01-11T01:28:00Z</dcterms:modified>
</cp:coreProperties>
</file>